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1908000" cy="52827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cmentarze-logo-kolorowe-na-jasne-tlo-3200px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8000" cy="5282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color w:val="FF7108"/>
          <w:sz w:val="18"/>
        </w:rPr>
        <w:t>MATERIAŁY DLA MEDIÓW</w:t>
      </w:r>
    </w:p>
    <w:p>
      <w:pPr>
        <w:pStyle w:val="Title"/>
      </w:pPr>
      <w:r>
        <w:t>Wszystkich Świętych 2026</w:t>
      </w:r>
    </w:p>
    <w:p>
      <w:pPr>
        <w:pStyle w:val="Subtitle"/>
      </w:pPr>
      <w:r>
        <w:t>Informacje i propozycje tematów dla redakcji</w:t>
      </w:r>
    </w:p>
    <w:p>
      <w:r>
        <w:t>Portal eCmentarze.pl pomaga odnaleźć miejsce pochówku i przygotować wizytę na cmentarzu. Poniżej przedstawiamy propozycje tematów i wskazówki dla redakcji.</w:t>
      </w:r>
    </w:p>
    <w:p>
      <w:pPr>
        <w:pStyle w:val="Heading1"/>
      </w:pPr>
      <w:r>
        <w:t>Propozycje tematów</w:t>
      </w:r>
    </w:p>
    <w:p>
      <w:pPr>
        <w:spacing w:after="120"/>
      </w:pPr>
      <w:r>
        <w:rPr>
          <w:b/>
        </w:rPr>
        <w:t xml:space="preserve">Jak odnaleźć grób bliskiej osoby. </w:t>
      </w:r>
      <w:r>
        <w:t>Od danych zmarłego do lokalizacji grobu.</w:t>
      </w:r>
    </w:p>
    <w:p>
      <w:pPr>
        <w:spacing w:after="120"/>
      </w:pPr>
      <w:r>
        <w:rPr>
          <w:b/>
        </w:rPr>
        <w:t xml:space="preserve">Mapa cmentarza na telefonie. </w:t>
      </w:r>
      <w:r>
        <w:t>Przygotowanie do wizyty przy grobie.</w:t>
      </w:r>
    </w:p>
    <w:p>
      <w:pPr>
        <w:spacing w:after="120"/>
      </w:pPr>
      <w:r>
        <w:rPr>
          <w:b/>
        </w:rPr>
        <w:t xml:space="preserve">Cyfryzacja cmentarzy. </w:t>
      </w:r>
      <w:r>
        <w:t>Inwentaryzacja i porządkowanie ewidencji.</w:t>
      </w:r>
    </w:p>
    <w:p>
      <w:pPr>
        <w:spacing w:after="120"/>
      </w:pPr>
      <w:r>
        <w:rPr>
          <w:b/>
        </w:rPr>
        <w:t xml:space="preserve">Miejsca pochówku znanych osób. </w:t>
      </w:r>
      <w:r>
        <w:t>Korzystanie z bazy w serwisie.</w:t>
      </w:r>
    </w:p>
    <w:p>
      <w:pPr>
        <w:pStyle w:val="Heading1"/>
      </w:pPr>
      <w:r>
        <w:t>Jak rozpocząć poszukiwania</w:t>
      </w:r>
    </w:p>
    <w:p>
      <w:r>
        <w:t>Na www.ecmentarze.pl wybierz wyszukiwarkę osób pochowanych i wpisz znane dane osoby zmarłej. Jeżeli znasz miejscowość lub cmentarz, wykorzystaj je do zawężenia poszukiwań. Po odnalezieniu właściwego wpisu sprawdź kartę grobu i dostępne informacje o jego lokalizacji.</w:t>
      </w:r>
    </w:p>
    <w:p>
      <w:pPr>
        <w:pStyle w:val="Heading1"/>
      </w:pPr>
      <w:r>
        <w:t>Zakres dostępnych informacji</w:t>
      </w:r>
    </w:p>
    <w:p>
      <w:r>
        <w:t>Pełna inwentaryzacja, partnerski spis zmarłych i wizytówka informacyjna oznaczają różny zakres danych. Nie każdy cmentarz ma mapę, zdjęcia grobów czy wirtualny spacer. Brak wyniku wyszukiwania nie oznacza, że dana osoba nie została pochowana na tym cmentarzu.</w:t>
      </w:r>
    </w:p>
    <w:p>
      <w:pPr>
        <w:pStyle w:val="Heading1"/>
      </w:pPr>
      <w:r>
        <w:t>Materiał ilustracyjny</w:t>
      </w:r>
    </w:p>
    <w:p>
      <w:r>
        <w:t>Grafika „Wszystkich Świętych z eCmentarze” z oryginalnym logo serwisu: JPG, 2172 × 724 px. Jest ilustracją wygenerowaną z użyciem AI, a nie dokumentacją konkretnego cmentarza. Plik znajduje się w pakiecie prasowym.</w:t>
      </w:r>
    </w:p>
    <w:p>
      <w:pPr>
        <w:pStyle w:val="Heading1"/>
      </w:pPr>
      <w:r>
        <w:t>Kontakt dla redakcji</w:t>
      </w:r>
    </w:p>
    <w:p>
      <w:r>
        <w:t>Zapytania o wypowiedź, dodatkowe materiały i aktualne dane:</w:t>
      </w:r>
    </w:p>
    <w:p>
      <w:pPr>
        <w:spacing w:after="60"/>
      </w:pPr>
      <w:hyperlink r:id="rId11">
        <w:r>
          <w:rPr>
            <w:color w:val="222039"/>
          </w:rPr>
          <w:t>biuro@ecmentarze.pl</w:t>
        </w:r>
      </w:hyperlink>
    </w:p>
    <w:p>
      <w:hyperlink r:id="rId12">
        <w:r>
          <w:rPr>
            <w:color w:val="222039"/>
          </w:rPr>
          <w:t>www.ecmentarze.pl</w:t>
        </w:r>
      </w:hyperlink>
    </w:p>
    <w:sectPr w:rsidR="00FC693F" w:rsidRPr="0006063C" w:rsidSect="00034616">
      <w:footerReference w:type="default" r:id="rId9"/>
      <w:pgSz w:w="11906" w:h="16838"/>
      <w:pgMar w:top="1077" w:right="1077" w:bottom="1077" w:left="1077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241" w:val="left"/>
      </w:tabs>
    </w:pPr>
    <w:r>
      <w:rPr>
        <w:color w:val="68627B"/>
        <w:sz w:val="16"/>
      </w:rPr>
      <w:t>eCmentarze.pl  /  Materiały dla mediów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oppins" w:hAnsi="Poppins" w:eastAsia="Poppins" w:cs="Poppins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81" w:lineRule="auto"/>
    </w:pPr>
    <w:rPr>
      <w:rFonts w:ascii="Poppins" w:hAnsi="Poppins"/>
      <w:color w:val="22203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/>
      <w:outlineLvl w:val="0"/>
    </w:pPr>
    <w:rPr>
      <w:rFonts w:ascii="Poppins" w:hAnsi="Poppins" w:eastAsia="Poppins" w:cs="Poppins"/>
      <w:b/>
      <w:bCs/>
      <w:color w:val="2220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="Poppins" w:hAnsi="Poppins" w:eastAsia="Poppins" w:cs="Poppins"/>
      <w:b/>
      <w:bCs/>
      <w:color w:val="2220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Poppins" w:hAnsi="Poppins" w:eastAsia="Poppins" w:cs="Poppi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Poppins" w:hAnsi="Poppins" w:eastAsia="Poppins" w:cs="Poppi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Poppins" w:hAnsi="Poppins" w:eastAsia="Poppins" w:cs="Poppi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Poppins" w:hAnsi="Poppins" w:eastAsia="Poppins" w:cs="Poppi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Poppins" w:hAnsi="Poppins" w:eastAsia="Poppins" w:cs="Poppi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Poppins" w:hAnsi="Poppins" w:eastAsia="Poppins" w:cs="Poppi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Poppins" w:hAnsi="Poppins" w:eastAsia="Poppins" w:cs="Poppi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Poppins" w:hAnsi="Poppins" w:eastAsia="Poppins" w:cs="Poppi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Poppins" w:hAnsi="Poppins" w:eastAsia="Poppins" w:cs="Poppi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Poppins" w:hAnsi="Poppins" w:eastAsia="Poppins" w:cs="Poppi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="Poppins" w:hAnsi="Poppins" w:eastAsia="Poppins" w:cs="Poppins"/>
      <w:b/>
      <w:color w:val="222039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Poppins" w:hAnsi="Poppins" w:eastAsia="Poppins" w:cs="Poppins"/>
      <w:color w:val="17365D" w:themeColor="text2" w:themeShade="BF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="Poppins" w:hAnsi="Poppins" w:eastAsia="Poppins" w:cs="Poppins"/>
      <w:i w:val="0"/>
      <w:iCs/>
      <w:color w:val="68627B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Poppins" w:hAnsi="Poppins" w:eastAsia="Poppins" w:cs="Poppins"/>
      <w:i/>
      <w:iCs/>
      <w:color w:val="4F81BD" w:themeColor="accent1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Poppins" w:hAnsi="Poppins" w:eastAsia="Poppins" w:cs="Poppin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Poppins" w:hAnsi="Poppins" w:eastAsia="Poppins" w:cs="Poppin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Poppins" w:hAnsi="Poppins" w:eastAsia="Poppins" w:cs="Poppi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Poppins" w:hAnsi="Poppins" w:eastAsia="Poppins" w:cs="Poppi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Poppins" w:hAnsi="Poppins" w:eastAsia="Poppins" w:cs="Poppi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Poppins" w:hAnsi="Poppins" w:eastAsia="Poppins" w:cs="Poppi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Poppins" w:hAnsi="Poppins" w:eastAsia="Poppins" w:cs="Poppi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Poppins" w:hAnsi="Poppins" w:eastAsia="Poppins" w:cs="Poppi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40" w:before="100"/>
    </w:pPr>
    <w:rPr>
      <w:rFonts w:ascii="Poppins" w:hAnsi="Poppins"/>
      <w:b w:val="0"/>
      <w:bCs/>
      <w:i w:val="0"/>
      <w:color w:val="68627B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Poppins" w:hAnsi="Poppins" w:eastAsia="Poppins" w:cs="Poppi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Poppins" w:hAnsi="Poppins" w:eastAsia="Poppins" w:cs="Poppi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Poppins" w:hAnsi="Poppins" w:eastAsia="Poppins" w:cs="Poppins"/>
        <w:b/>
        <w:bCs/>
      </w:rPr>
    </w:tblStylePr>
    <w:tblStylePr w:type="lastCol">
      <w:rPr>
        <w:rFonts w:ascii="Poppins" w:hAnsi="Poppins" w:eastAsia="Poppins" w:cs="Poppi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Poppins" w:hAnsi="Poppins" w:eastAsia="Poppins" w:cs="Poppi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Poppins" w:hAnsi="Poppins" w:eastAsia="Poppins" w:cs="Poppi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Poppins" w:hAnsi="Poppins" w:eastAsia="Poppins" w:cs="Poppins"/>
        <w:b/>
        <w:bCs/>
      </w:rPr>
    </w:tblStylePr>
    <w:tblStylePr w:type="lastCol">
      <w:rPr>
        <w:rFonts w:ascii="Poppins" w:hAnsi="Poppins" w:eastAsia="Poppins" w:cs="Poppi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Poppins" w:hAnsi="Poppins" w:eastAsia="Poppins" w:cs="Poppi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Poppins" w:hAnsi="Poppins" w:eastAsia="Poppins" w:cs="Poppi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Poppins" w:hAnsi="Poppins" w:eastAsia="Poppins" w:cs="Poppins"/>
        <w:b/>
        <w:bCs/>
      </w:rPr>
    </w:tblStylePr>
    <w:tblStylePr w:type="lastCol">
      <w:rPr>
        <w:rFonts w:ascii="Poppins" w:hAnsi="Poppins" w:eastAsia="Poppins" w:cs="Poppi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Poppins" w:hAnsi="Poppins" w:eastAsia="Poppins" w:cs="Poppi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Poppins" w:hAnsi="Poppins" w:eastAsia="Poppins" w:cs="Poppi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Poppins" w:hAnsi="Poppins" w:eastAsia="Poppins" w:cs="Poppins"/>
        <w:b/>
        <w:bCs/>
      </w:rPr>
    </w:tblStylePr>
    <w:tblStylePr w:type="lastCol">
      <w:rPr>
        <w:rFonts w:ascii="Poppins" w:hAnsi="Poppins" w:eastAsia="Poppins" w:cs="Poppi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Poppins" w:hAnsi="Poppins" w:eastAsia="Poppins" w:cs="Poppi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Poppins" w:hAnsi="Poppins" w:eastAsia="Poppins" w:cs="Poppi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Poppins" w:hAnsi="Poppins" w:eastAsia="Poppins" w:cs="Poppins"/>
        <w:b/>
        <w:bCs/>
      </w:rPr>
    </w:tblStylePr>
    <w:tblStylePr w:type="lastCol">
      <w:rPr>
        <w:rFonts w:ascii="Poppins" w:hAnsi="Poppins" w:eastAsia="Poppins" w:cs="Poppi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Poppins" w:hAnsi="Poppins" w:eastAsia="Poppins" w:cs="Poppi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Poppins" w:hAnsi="Poppins" w:eastAsia="Poppins" w:cs="Poppi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Poppins" w:hAnsi="Poppins" w:eastAsia="Poppins" w:cs="Poppins"/>
        <w:b/>
        <w:bCs/>
      </w:rPr>
    </w:tblStylePr>
    <w:tblStylePr w:type="lastCol">
      <w:rPr>
        <w:rFonts w:ascii="Poppins" w:hAnsi="Poppins" w:eastAsia="Poppins" w:cs="Poppi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Poppins" w:hAnsi="Poppins" w:eastAsia="Poppins" w:cs="Poppi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Poppins" w:hAnsi="Poppins" w:eastAsia="Poppins" w:cs="Poppi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Poppins" w:hAnsi="Poppins" w:eastAsia="Poppins" w:cs="Poppins"/>
        <w:b/>
        <w:bCs/>
      </w:rPr>
    </w:tblStylePr>
    <w:tblStylePr w:type="lastCol">
      <w:rPr>
        <w:rFonts w:ascii="Poppins" w:hAnsi="Poppins" w:eastAsia="Poppins" w:cs="Poppi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Poppins" w:hAnsi="Poppins" w:eastAsia="Poppins" w:cs="Poppi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Poppins" w:hAnsi="Poppins" w:eastAsia="Poppins" w:cs="Poppi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Poppins" w:hAnsi="Poppins" w:eastAsia="Poppins" w:cs="Poppi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Poppins" w:hAnsi="Poppins" w:eastAsia="Poppins" w:cs="Poppi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Poppins" w:hAnsi="Poppins" w:eastAsia="Poppins" w:cs="Poppi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Poppins" w:hAnsi="Poppins" w:eastAsia="Poppins" w:cs="Poppi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Poppins" w:hAnsi="Poppins" w:eastAsia="Poppins" w:cs="Poppi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Poppins" w:hAnsi="Poppins" w:eastAsia="Poppins" w:cs="Poppi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Poppins" w:hAnsi="Poppins" w:eastAsia="Poppins" w:cs="Poppi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Poppins" w:hAnsi="Poppins" w:eastAsia="Poppins" w:cs="Poppi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Poppins" w:hAnsi="Poppins" w:eastAsia="Poppins" w:cs="Poppi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Poppins" w:hAnsi="Poppins" w:eastAsia="Poppins" w:cs="Poppi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Poppins" w:hAnsi="Poppins" w:eastAsia="Poppins" w:cs="Poppi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Poppins" w:hAnsi="Poppins" w:eastAsia="Poppins" w:cs="Poppi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Poppins" w:hAnsi="Poppins" w:eastAsia="Poppins" w:cs="Poppi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Poppins" w:hAnsi="Poppins" w:eastAsia="Poppins" w:cs="Poppi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Poppins" w:hAnsi="Poppins" w:eastAsia="Poppins" w:cs="Poppi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Poppins" w:hAnsi="Poppins" w:eastAsia="Poppins" w:cs="Poppi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Poppins" w:hAnsi="Poppins" w:eastAsia="Poppins" w:cs="Poppi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Poppins" w:hAnsi="Poppins" w:eastAsia="Poppins" w:cs="Poppi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Poppins" w:hAnsi="Poppins" w:eastAsia="Poppins" w:cs="Poppi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mailto:biuro@ecmentarze.pl" TargetMode="External"/><Relationship Id="rId12" Type="http://schemas.openxmlformats.org/officeDocument/2006/relationships/hyperlink" Target="https://www.ecmentarz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Wszystkich Świętych 2026</dc:title>
  <dc:subject>Informacje i propozycje tematów dla redakcji</dc:subject>
  <dc:creator>Tech-Studio S.C. | eCmentarze</dc:creator>
  <cp:keywords>eCmentarze, materiały dla mediów, Tech-Studio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